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27" w:rsidRPr="00395C27" w:rsidRDefault="00395C27">
      <w:pPr>
        <w:rPr>
          <w:rFonts w:ascii="Times New Roman" w:hAnsi="Times New Roman" w:cs="Times New Roman"/>
          <w:sz w:val="24"/>
          <w:szCs w:val="24"/>
        </w:rPr>
      </w:pPr>
      <w:r w:rsidRPr="00395C27">
        <w:rPr>
          <w:rFonts w:ascii="Times New Roman" w:hAnsi="Times New Roman" w:cs="Times New Roman"/>
          <w:sz w:val="24"/>
          <w:szCs w:val="24"/>
        </w:rPr>
        <w:t xml:space="preserve">Pakiet nr 1 – stymulator jednojamowy SSIR dopuszczony do skanowania MRI bez stref wykluczeni – 15 </w:t>
      </w:r>
      <w:proofErr w:type="spellStart"/>
      <w:r w:rsidRPr="00395C2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843"/>
        <w:gridCol w:w="1134"/>
        <w:gridCol w:w="1842"/>
        <w:gridCol w:w="1418"/>
        <w:gridCol w:w="1192"/>
        <w:gridCol w:w="1750"/>
      </w:tblGrid>
      <w:tr w:rsidR="00395C27" w:rsidRPr="00395C27" w:rsidTr="00395C27">
        <w:tc>
          <w:tcPr>
            <w:tcW w:w="396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Opis produktu</w:t>
            </w:r>
          </w:p>
        </w:tc>
        <w:tc>
          <w:tcPr>
            <w:tcW w:w="851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4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9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750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Producent, nr katalogowy, nazwa handlowa</w:t>
            </w:r>
          </w:p>
        </w:tc>
      </w:tr>
      <w:tr w:rsidR="00395C27" w:rsidRPr="00395C27" w:rsidTr="00395C27">
        <w:tc>
          <w:tcPr>
            <w:tcW w:w="396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Stymulator jednojamowy SSIR MRI</w:t>
            </w:r>
          </w:p>
        </w:tc>
        <w:tc>
          <w:tcPr>
            <w:tcW w:w="851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RPr="00395C27" w:rsidTr="00395C27">
        <w:tc>
          <w:tcPr>
            <w:tcW w:w="396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stymulujące przedsionkowe/komorowe MRI – do wyboru różne typy</w:t>
            </w:r>
          </w:p>
        </w:tc>
        <w:tc>
          <w:tcPr>
            <w:tcW w:w="851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RPr="00395C27" w:rsidTr="00593936">
        <w:tc>
          <w:tcPr>
            <w:tcW w:w="9634" w:type="dxa"/>
            <w:gridSpan w:val="5"/>
          </w:tcPr>
          <w:p w:rsidR="00395C27" w:rsidRPr="00395C27" w:rsidRDefault="00395C27" w:rsidP="00395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418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95C27" w:rsidRP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27" w:rsidRDefault="00395C27">
      <w:pPr>
        <w:rPr>
          <w:rFonts w:ascii="Times New Roman" w:hAnsi="Times New Roman" w:cs="Times New Roman"/>
          <w:sz w:val="24"/>
          <w:szCs w:val="24"/>
        </w:rPr>
      </w:pPr>
    </w:p>
    <w:p w:rsidR="00395C27" w:rsidRDefault="00476C18">
      <w:pPr>
        <w:rPr>
          <w:rFonts w:ascii="Times New Roman" w:hAnsi="Times New Roman" w:cs="Times New Roman"/>
          <w:sz w:val="24"/>
          <w:szCs w:val="24"/>
        </w:rPr>
      </w:pPr>
      <w:r w:rsidRPr="00395C27">
        <w:rPr>
          <w:rFonts w:ascii="Times New Roman" w:hAnsi="Times New Roman" w:cs="Times New Roman"/>
          <w:sz w:val="24"/>
          <w:szCs w:val="24"/>
        </w:rPr>
        <w:t>Parametry wymagane: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92"/>
        <w:gridCol w:w="3499"/>
        <w:gridCol w:w="3499"/>
      </w:tblGrid>
      <w:tr w:rsidR="00395C27" w:rsidTr="00395C27">
        <w:tc>
          <w:tcPr>
            <w:tcW w:w="704" w:type="dxa"/>
          </w:tcPr>
          <w:p w:rsidR="00395C27" w:rsidRPr="00ED6B5A" w:rsidRDefault="003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Lp.</w:t>
            </w:r>
          </w:p>
        </w:tc>
        <w:tc>
          <w:tcPr>
            <w:tcW w:w="6292" w:type="dxa"/>
          </w:tcPr>
          <w:p w:rsidR="00395C27" w:rsidRPr="00ED6B5A" w:rsidRDefault="00395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Opis parametru</w:t>
            </w:r>
          </w:p>
        </w:tc>
        <w:tc>
          <w:tcPr>
            <w:tcW w:w="3499" w:type="dxa"/>
          </w:tcPr>
          <w:p w:rsidR="00395C27" w:rsidRPr="00ED6B5A" w:rsidRDefault="00ED6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</w:t>
            </w:r>
            <w:r w:rsidR="00395C27"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ymagane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Opis oferowanego parametru</w:t>
            </w:r>
          </w:p>
        </w:tc>
      </w:tr>
      <w:tr w:rsidR="00395C27" w:rsidTr="00395C27">
        <w:tc>
          <w:tcPr>
            <w:tcW w:w="704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Żywotność stymulatora min 12 lat (nastawy nominalne)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A i V pasywne i aktywne – do wyboru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A i V sterydowe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nocny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Polarność stymulacji (A/V), unipolarny, bipolarny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Polarność czułości (A/V), unipolarny, bipolarny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max. 30g</w:t>
            </w:r>
          </w:p>
        </w:tc>
        <w:tc>
          <w:tcPr>
            <w:tcW w:w="3499" w:type="dxa"/>
          </w:tcPr>
          <w:p w:rsidR="00ED6B5A" w:rsidRDefault="00ED6B5A" w:rsidP="00ED6B5A">
            <w:r w:rsidRPr="00FA76F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Tr="00395C27">
        <w:tc>
          <w:tcPr>
            <w:tcW w:w="704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Ampituda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impulsu min zakres 0,5-6,0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499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Tr="00395C27">
        <w:tc>
          <w:tcPr>
            <w:tcW w:w="704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impulsu (A/V), min zakres 0,5-1,0</w:t>
            </w:r>
          </w:p>
        </w:tc>
        <w:tc>
          <w:tcPr>
            <w:tcW w:w="3499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Tr="00395C27">
        <w:tc>
          <w:tcPr>
            <w:tcW w:w="704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Czułość komorowa – co najmniej w zakresie 1,0-7,5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99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Tr="00395C27">
        <w:tc>
          <w:tcPr>
            <w:tcW w:w="704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Czułość przedsionkowa – co najmniej w zakresie 0,5-7,0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99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27" w:rsidTr="00395C27">
        <w:tc>
          <w:tcPr>
            <w:tcW w:w="704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wykonania badania MRI całego ciała u pacjenta z wszczepionym urządzeniem</w:t>
            </w:r>
          </w:p>
        </w:tc>
        <w:tc>
          <w:tcPr>
            <w:tcW w:w="3499" w:type="dxa"/>
          </w:tcPr>
          <w:p w:rsidR="00395C27" w:rsidRDefault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395C27" w:rsidRDefault="003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nie wcześniej niż 2016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automatycznie określająca komorowy próg stymulacji oraz automatycznie dostosowująca parametry stymulacji komorowej do zamierzonego progu stymulacji (typu „beat to beat”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automatycznego przełączenia polarności w przypadku przekroczenia zakresu impedancji elektrod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zapewniający automatyczną inicjalizację podstawowych funkcji stymulatora po podłączeniu elektrod: sprawdzający i dostosowujący polarność elektrod, zapewniający stymulację oraz włączenie niezbędnych algorytmów w celu pełnego zabezpieczenia pacjenta bez konieczności programowania stymulatora podczas implantacji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antyarytmicznej stymulacji (EPS) stymulatorem wszczepionym bez użycia dodatkowych urządzeń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Histereza jednojamowa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dostarczenia programatora automatycznie uaktualniającego wersję oprogramowania przez sieć UMTS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Bezprzewodowa komunikacja z programatorem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wspomagający programowanie rozrusznika w zależności od stanu klinicznego pacjenta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A" w:rsidTr="00395C27">
        <w:tc>
          <w:tcPr>
            <w:tcW w:w="704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2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Śródklatkowy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pomiar płynów </w:t>
            </w:r>
          </w:p>
        </w:tc>
        <w:tc>
          <w:tcPr>
            <w:tcW w:w="3499" w:type="dxa"/>
          </w:tcPr>
          <w:p w:rsidR="00ED6B5A" w:rsidRDefault="00ED6B5A" w:rsidP="00ED6B5A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ED6B5A" w:rsidRDefault="00ED6B5A" w:rsidP="00E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27" w:rsidRDefault="00395C27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nr 2 – stymulator dwujamowy DDDR dopuszczony do skanowania MRI bez stref wykluczeni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843"/>
        <w:gridCol w:w="1134"/>
        <w:gridCol w:w="1842"/>
        <w:gridCol w:w="1418"/>
        <w:gridCol w:w="1192"/>
        <w:gridCol w:w="1750"/>
      </w:tblGrid>
      <w:tr w:rsidR="00476C18" w:rsidRPr="00395C27" w:rsidTr="001C6CA3">
        <w:tc>
          <w:tcPr>
            <w:tcW w:w="3964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Opis produktu</w:t>
            </w:r>
          </w:p>
        </w:tc>
        <w:tc>
          <w:tcPr>
            <w:tcW w:w="851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4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9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750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7">
              <w:rPr>
                <w:rFonts w:ascii="Times New Roman" w:hAnsi="Times New Roman" w:cs="Times New Roman"/>
                <w:sz w:val="24"/>
                <w:szCs w:val="24"/>
              </w:rPr>
              <w:t>Producent, nr katalogowy, nazwa handlowa</w:t>
            </w:r>
          </w:p>
        </w:tc>
      </w:tr>
      <w:tr w:rsidR="00476C18" w:rsidRPr="00395C27" w:rsidTr="001C6CA3">
        <w:tc>
          <w:tcPr>
            <w:tcW w:w="3964" w:type="dxa"/>
          </w:tcPr>
          <w:p w:rsidR="00476C18" w:rsidRPr="00395C27" w:rsidRDefault="00476C18" w:rsidP="004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Stymulator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dwujamowy DDDR</w:t>
            </w:r>
          </w:p>
        </w:tc>
        <w:tc>
          <w:tcPr>
            <w:tcW w:w="851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RPr="00395C27" w:rsidTr="001C6CA3">
        <w:tc>
          <w:tcPr>
            <w:tcW w:w="3964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stymulujące przedsionkowe/komorowe MRI – do wyboru różne typy</w:t>
            </w:r>
          </w:p>
        </w:tc>
        <w:tc>
          <w:tcPr>
            <w:tcW w:w="851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RPr="00395C27" w:rsidTr="001C6CA3">
        <w:tc>
          <w:tcPr>
            <w:tcW w:w="9634" w:type="dxa"/>
            <w:gridSpan w:val="5"/>
          </w:tcPr>
          <w:p w:rsidR="00476C18" w:rsidRPr="00395C27" w:rsidRDefault="00476C18" w:rsidP="001C6C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418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6C18" w:rsidRPr="00395C27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18" w:rsidRDefault="00476C18">
      <w:pPr>
        <w:rPr>
          <w:rFonts w:ascii="Times New Roman" w:hAnsi="Times New Roman" w:cs="Times New Roman"/>
          <w:sz w:val="24"/>
          <w:szCs w:val="24"/>
        </w:rPr>
      </w:pPr>
    </w:p>
    <w:p w:rsidR="00476C18" w:rsidRDefault="00476C18" w:rsidP="00476C18">
      <w:pPr>
        <w:rPr>
          <w:rFonts w:ascii="Times New Roman" w:hAnsi="Times New Roman" w:cs="Times New Roman"/>
          <w:sz w:val="24"/>
          <w:szCs w:val="24"/>
        </w:rPr>
      </w:pPr>
      <w:r w:rsidRPr="00395C27">
        <w:rPr>
          <w:rFonts w:ascii="Times New Roman" w:hAnsi="Times New Roman" w:cs="Times New Roman"/>
          <w:sz w:val="24"/>
          <w:szCs w:val="24"/>
        </w:rPr>
        <w:t>Parametry wymagane: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92"/>
        <w:gridCol w:w="3499"/>
        <w:gridCol w:w="3499"/>
      </w:tblGrid>
      <w:tr w:rsidR="00476C18" w:rsidTr="001C6CA3">
        <w:tc>
          <w:tcPr>
            <w:tcW w:w="704" w:type="dxa"/>
          </w:tcPr>
          <w:p w:rsidR="00476C18" w:rsidRPr="00ED6B5A" w:rsidRDefault="00476C18" w:rsidP="001C6C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Lp.</w:t>
            </w:r>
          </w:p>
        </w:tc>
        <w:tc>
          <w:tcPr>
            <w:tcW w:w="6292" w:type="dxa"/>
          </w:tcPr>
          <w:p w:rsidR="00476C18" w:rsidRPr="00ED6B5A" w:rsidRDefault="00476C18" w:rsidP="001C6C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Opis parametru</w:t>
            </w:r>
          </w:p>
        </w:tc>
        <w:tc>
          <w:tcPr>
            <w:tcW w:w="3499" w:type="dxa"/>
          </w:tcPr>
          <w:p w:rsidR="00476C18" w:rsidRPr="00ED6B5A" w:rsidRDefault="00476C18" w:rsidP="001C6C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</w:t>
            </w: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Opis oferowanego parametru</w:t>
            </w: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Żywotność stymulatora min 10 lat (nastawy nominalne)</w:t>
            </w:r>
          </w:p>
        </w:tc>
        <w:tc>
          <w:tcPr>
            <w:tcW w:w="3499" w:type="dxa"/>
          </w:tcPr>
          <w:p w:rsidR="00476C18" w:rsidRDefault="00BA048F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max 30g</w:t>
            </w:r>
          </w:p>
        </w:tc>
        <w:tc>
          <w:tcPr>
            <w:tcW w:w="3499" w:type="dxa"/>
          </w:tcPr>
          <w:p w:rsidR="00476C18" w:rsidRDefault="00BA048F" w:rsidP="001C6CA3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Amputuda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impulsu min zakres 0,5-7,0mV</w:t>
            </w:r>
          </w:p>
        </w:tc>
        <w:tc>
          <w:tcPr>
            <w:tcW w:w="3499" w:type="dxa"/>
          </w:tcPr>
          <w:p w:rsidR="00476C18" w:rsidRDefault="00BA048F" w:rsidP="001C6CA3"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impulsu (A/V) min zakres 0,2-1,5ms</w:t>
            </w:r>
          </w:p>
        </w:tc>
        <w:tc>
          <w:tcPr>
            <w:tcW w:w="3499" w:type="dxa"/>
          </w:tcPr>
          <w:p w:rsidR="00476C18" w:rsidRDefault="00BA048F" w:rsidP="001C6CA3"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Czułość komorowa – co najmniej w zakresie 1,0-7,0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99" w:type="dxa"/>
          </w:tcPr>
          <w:p w:rsidR="00476C18" w:rsidRDefault="00BA048F" w:rsidP="001C6CA3"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Czułość przedsionkowa – co najmniej w zakresie 0,5-7,0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99" w:type="dxa"/>
          </w:tcPr>
          <w:p w:rsidR="00476C18" w:rsidRDefault="00BA048F" w:rsidP="001C6CA3">
            <w:r>
              <w:rPr>
                <w:rFonts w:ascii="Times New Roman" w:hAnsi="Times New Roman" w:cs="Times New Roman"/>
                <w:sz w:val="24"/>
                <w:szCs w:val="24"/>
              </w:rPr>
              <w:t>Podać, minimalny zakres wymagany</w:t>
            </w:r>
            <w:bookmarkStart w:id="0" w:name="_GoBack"/>
            <w:bookmarkEnd w:id="0"/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dostarczenia programatora automatycznie uaktualniającego wersję oprogramowania przez sieć UMTS</w:t>
            </w:r>
          </w:p>
        </w:tc>
        <w:tc>
          <w:tcPr>
            <w:tcW w:w="3499" w:type="dxa"/>
          </w:tcPr>
          <w:p w:rsidR="00476C18" w:rsidRDefault="00BA048F" w:rsidP="001C6CA3"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A i V pasywne i aktywne do wyboru</w:t>
            </w:r>
          </w:p>
        </w:tc>
        <w:tc>
          <w:tcPr>
            <w:tcW w:w="3499" w:type="dxa"/>
          </w:tcPr>
          <w:p w:rsidR="00476C18" w:rsidRDefault="00BA048F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Elektrody A i V sterydowe</w:t>
            </w:r>
          </w:p>
        </w:tc>
        <w:tc>
          <w:tcPr>
            <w:tcW w:w="3499" w:type="dxa"/>
          </w:tcPr>
          <w:p w:rsidR="00476C18" w:rsidRDefault="00BA048F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8" w:rsidTr="001C6CA3">
        <w:tc>
          <w:tcPr>
            <w:tcW w:w="704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nocny</w:t>
            </w:r>
          </w:p>
        </w:tc>
        <w:tc>
          <w:tcPr>
            <w:tcW w:w="3499" w:type="dxa"/>
          </w:tcPr>
          <w:p w:rsidR="00476C18" w:rsidRDefault="00BA048F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60C3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</w:p>
        </w:tc>
        <w:tc>
          <w:tcPr>
            <w:tcW w:w="3499" w:type="dxa"/>
          </w:tcPr>
          <w:p w:rsidR="00476C18" w:rsidRDefault="00476C18" w:rsidP="001C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wykonania badania MRI całego ciała u pacjenta z wszczepionym urządzeniem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Automatyczny PVARP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promujący własne przewodzenie przedsionkowo-komorowe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Histereza częstości rytmu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antyarytmiczne (min 3)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Automatyczna zmiana trybu stymulacji w obecności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szybkoch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rytmów przedsionkowych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automatycznie określająca komorowy próg stymulacji oraz automatycznie dostosowująca parametry stymulacji komorowej do zamierzonego progu stymulacji (typu „beat to beat”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trendów oporności elektrod przez cały okres życia urządzenia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automatycznie określająca przedsionkowy próg stymulacji oraz automatycznie dostosowująca parametry stymulacji przedsionkowej do zamierzonego progu stymulacji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zapewniający automatyczną inicjalizację podstawowych funkcji stymulatora po podłączeniu elektrod: sprawdzający i dostosowujący polarność elektrod, zapewniający stymulację oraz włączenie niezbędnych algorytmów w celu pełnego zabezpieczenia pacjenta bez konieczności programowania stymulatora podczas implantacji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nie wcześniej niż 2016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Bezprzewodowa komunikacja z programatorem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Algorytm wspomagający programowanie rozrusznika w zależności od stanu klinicznego pacjenta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8F" w:rsidTr="001C6CA3">
        <w:tc>
          <w:tcPr>
            <w:tcW w:w="704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2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Śródklatkowy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pomiar płynów</w:t>
            </w:r>
          </w:p>
        </w:tc>
        <w:tc>
          <w:tcPr>
            <w:tcW w:w="3499" w:type="dxa"/>
          </w:tcPr>
          <w:p w:rsidR="00BA048F" w:rsidRDefault="00BA048F" w:rsidP="00BA048F">
            <w:r w:rsidRPr="002006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A048F" w:rsidRDefault="00BA048F" w:rsidP="00B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18" w:rsidRDefault="00476C18" w:rsidP="00476C18">
      <w:pPr>
        <w:rPr>
          <w:rFonts w:ascii="Times New Roman" w:hAnsi="Times New Roman" w:cs="Times New Roman"/>
          <w:sz w:val="24"/>
          <w:szCs w:val="24"/>
        </w:rPr>
      </w:pPr>
    </w:p>
    <w:p w:rsidR="00476C18" w:rsidRPr="00395C27" w:rsidRDefault="00476C18">
      <w:pPr>
        <w:rPr>
          <w:rFonts w:ascii="Times New Roman" w:hAnsi="Times New Roman" w:cs="Times New Roman"/>
          <w:sz w:val="24"/>
          <w:szCs w:val="24"/>
        </w:rPr>
      </w:pPr>
    </w:p>
    <w:sectPr w:rsidR="00476C18" w:rsidRPr="00395C27" w:rsidSect="00395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16"/>
    <w:rsid w:val="00395C27"/>
    <w:rsid w:val="00476C18"/>
    <w:rsid w:val="00745AFC"/>
    <w:rsid w:val="00927016"/>
    <w:rsid w:val="00BA048F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CC02-9A35-43DE-AA1F-027DEBA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2016-10-10T11:21:00Z</dcterms:created>
  <dcterms:modified xsi:type="dcterms:W3CDTF">2016-10-10T11:48:00Z</dcterms:modified>
</cp:coreProperties>
</file>